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109 vom 18. Juni 2008</w:t>
      </w:r>
    </w:p>
    <w:p>
      <w:r>
        <w:t>GR Gerichte, 2008-06-18, DE</w:t>
      </w:r>
    </w:p>
    <w:p>
      <w:r>
        <w:rPr>
          <w:b/>
        </w:rPr>
        <w:t xml:space="preserve">Quelle: </w:t>
      </w:r>
      <w:r>
        <w:t>https://mcp.opencaselaw.ch/entscheid/gr_gerichte_PZ 2008 109</w:t>
      </w:r>
    </w:p>
    <w:p>
      <w:r>
        <w:t>FR: GR_GERICHTE PZ 2008 109 du 18 juin 2008</w:t>
      </w:r>
    </w:p>
    <w:p>
      <w:r>
        <w:t>IT: GR_GERICHTE PZ 2008 109 del 18 giugno 2008</w:t>
      </w:r>
    </w:p>
    <w:p>
      <w:pPr>
        <w:pStyle w:val="Heading2"/>
      </w:pPr>
      <w:r>
        <w:t>Regeste</w:t>
      </w:r>
    </w:p>
    <w:p>
      <w:r>
        <w:t>unentgeltliche Rechtspflege | unentgeltliche Rechtspflege (in ZB/ZBE/ZF/ZFE/PZ Fällen)</w:t>
      </w:r>
    </w:p>
    <w:p>
      <w:pPr>
        <w:pStyle w:val="Heading2"/>
      </w:pPr>
      <w:r>
        <w:t>Erwägungen</w:t>
      </w:r>
    </w:p>
    <w:p>
      <w:r>
        <w:rPr>
          <w:b/>
        </w:rPr>
        <w:t>E. 2</w:t>
      </w:r>
    </w:p>
    <w:p>
      <w:r>
        <w:t>Die Beklagte wird verpflichtet, der Klägerin aus Darlehensforderung CHF 236'169.35 zu bezahlen zuzüglich Zins zu 5 % auf CHF 225'000.00 ab dem 9. August 2006 und auf CHF 11'169.35 ab dem 31. Dezember 2006.</w:t>
      </w:r>
    </w:p>
    <w:p>
      <w:r>
        <w:rPr>
          <w:b/>
        </w:rPr>
        <w:t>E. 3</w:t>
      </w:r>
    </w:p>
    <w:p>
      <w:r>
        <w:t>Die Beklagte hat der Klägerin ein qualifiziertes Arbeitszeugnis aus- zustellen.</w:t>
      </w:r>
    </w:p>
    <w:p>
      <w:r>
        <w:rPr>
          <w:b/>
        </w:rPr>
        <w:t>E. 4</w:t>
      </w:r>
    </w:p>
    <w:p>
      <w:r>
        <w:t>Im Übrigen wird die Klage abgewiesen.</w:t>
      </w:r>
    </w:p>
    <w:p>
      <w:r>
        <w:rPr>
          <w:b/>
        </w:rPr>
        <w:t>E. 5</w:t>
      </w:r>
    </w:p>
    <w:p>
      <w:r>
        <w:t>Die Kosten des Kreisamtes Chur von CHF 300.00 sowie die Kosten des Bezirksgerichtes Plessur von CHF 10'316.40 (Gerichtsge- bühren CHF 4'500.00, Schreibgebühren CHF 582.00, Bargebühren CHF 234.40, Streitwertzuschlag CHF 5'000.00) gehen zu Lasten von Y.. Die übrigen Gerichtskosten in der Höhe von CHF 1'000.00 gehen zu Lasten der Gerichtskasse. Auf Grund des geleisteten Kos- tenvorschusses von CHF 10'000.00 bleibt ein Restbetrag von CHF 316.40 offen. Dieser ist innert 30 Tagen auf das PC-Konto 70-3596- 3 des Bezirksgerichts Plessur zu überweisen. Y. hat X. mit CHF 6'649.70 (inklusive Barauslagen und 7,6 % MWST) ausseramtlich zu entschädigen.</w:t>
      </w:r>
    </w:p>
    <w:p>
      <w:r>
        <w:rPr>
          <w:b/>
        </w:rPr>
        <w:t>E. 6</w:t>
      </w:r>
    </w:p>
    <w:p>
      <w:r>
        <w:t>Dem Parteivertreter der Klägerin wird eine Frist von 10 Tagen ab Mitteilung des vorliegenden Urteils gesetzt, um eine detaillierte Ho- norarnote betreffend Anwaltsaufwand (samt Einzahlungsschein) einzureichen und seine diesbezüglichen Ansprüche zu beziffern. Bei Nicht-Einhaltung dieser Frist wird der Bezirksgerichtspräsident den Aufwand nach pflichtgemässem Ermessen festsetzen.</w:t>
      </w:r>
    </w:p>
    <w:p>
      <w:r>
        <w:rPr>
          <w:b/>
        </w:rPr>
        <w:t>E. 7</w:t>
      </w:r>
    </w:p>
    <w:p>
      <w:r>
        <w:t>kann (Art. 43 Abs. 2 ZPO). Es ist jedoch nicht seine Aufgabe, einer Partei - noch dazu wenn sie rechtskundig vertreten ist - die Arbeit abzunehmen, indem er nach denkbaren Begründungen für einen Anspruch forscht, um gestützt darauf die relevant scheinenden Unterlagen einzufordern. 4. Ist das Gesuch abzuweisen, gehen die Kosten dieses Verfahrens in Höhe von Fr. 150.-- zu Lasten der Gesuchstellerin.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